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C0E1AF" w14:textId="77777777" w:rsidR="00DA36E8" w:rsidRDefault="00DA36E8">
      <w:pPr>
        <w:sectPr w:rsidR="00DA36E8">
          <w:headerReference w:type="even" r:id="rId8"/>
          <w:headerReference w:type="default" r:id="rId9"/>
          <w:type w:val="continuous"/>
          <w:pgSz w:w="12240" w:h="15840" w:code="1"/>
          <w:pgMar w:top="2880" w:right="1800" w:bottom="1440" w:left="1800" w:header="720" w:footer="720" w:gutter="0"/>
          <w:cols w:space="720"/>
        </w:sectPr>
      </w:pPr>
    </w:p>
    <w:p w14:paraId="50F8A9CC" w14:textId="4A21DC97" w:rsidR="00195B4B" w:rsidRPr="00561403" w:rsidRDefault="008C469B" w:rsidP="00561403">
      <w:r w:rsidRPr="00561403">
        <w:rPr>
          <w:b/>
        </w:rPr>
        <w:t>TO:</w:t>
      </w:r>
      <w:r w:rsidRPr="00561403">
        <w:rPr>
          <w:b/>
        </w:rPr>
        <w:tab/>
      </w:r>
      <w:r w:rsidRPr="00561403">
        <w:rPr>
          <w:b/>
        </w:rPr>
        <w:tab/>
      </w:r>
      <w:r w:rsidR="00B527AC" w:rsidRPr="00561403">
        <w:t>Robert Parish</w:t>
      </w:r>
      <w:r w:rsidR="00195B4B" w:rsidRPr="00561403">
        <w:t>, Legal Division</w:t>
      </w:r>
    </w:p>
    <w:p w14:paraId="6E96D3CB" w14:textId="77777777" w:rsidR="008C469B" w:rsidRPr="00561403" w:rsidRDefault="008C469B" w:rsidP="008C469B">
      <w:pPr>
        <w:tabs>
          <w:tab w:val="left" w:pos="1170"/>
        </w:tabs>
      </w:pPr>
      <w:r w:rsidRPr="00561403">
        <w:tab/>
      </w:r>
      <w:r w:rsidRPr="00561403">
        <w:tab/>
      </w:r>
    </w:p>
    <w:p w14:paraId="0542BA84" w14:textId="25424FC9" w:rsidR="008C469B" w:rsidRPr="00561403" w:rsidRDefault="008C469B" w:rsidP="00561403">
      <w:r w:rsidRPr="00561403">
        <w:rPr>
          <w:b/>
        </w:rPr>
        <w:t>FROM:</w:t>
      </w:r>
      <w:r w:rsidRPr="00561403">
        <w:rPr>
          <w:b/>
        </w:rPr>
        <w:tab/>
      </w:r>
      <w:r w:rsidR="00561403" w:rsidRPr="00561403">
        <w:t xml:space="preserve">Diane Hopingardner, Rate Regulation </w:t>
      </w:r>
      <w:r w:rsidR="00195B4B" w:rsidRPr="00561403">
        <w:t>Division</w:t>
      </w:r>
    </w:p>
    <w:p w14:paraId="6BFA100D" w14:textId="1A42F25B" w:rsidR="008C469B" w:rsidRPr="00561403" w:rsidRDefault="008C469B" w:rsidP="008C469B">
      <w:pPr>
        <w:tabs>
          <w:tab w:val="left" w:pos="1170"/>
        </w:tabs>
        <w:spacing w:before="240"/>
      </w:pPr>
      <w:r w:rsidRPr="00561403">
        <w:rPr>
          <w:b/>
        </w:rPr>
        <w:t>DATE:</w:t>
      </w:r>
      <w:r w:rsidRPr="00561403">
        <w:rPr>
          <w:b/>
        </w:rPr>
        <w:tab/>
      </w:r>
      <w:r w:rsidRPr="00561403">
        <w:rPr>
          <w:b/>
        </w:rPr>
        <w:tab/>
      </w:r>
      <w:r w:rsidR="00A9073B">
        <w:rPr>
          <w:bCs/>
        </w:rPr>
        <w:t>July 1</w:t>
      </w:r>
      <w:r w:rsidR="00B527AC" w:rsidRPr="00561403">
        <w:rPr>
          <w:bCs/>
        </w:rPr>
        <w:t>, 2021</w:t>
      </w:r>
    </w:p>
    <w:p w14:paraId="38C2171B" w14:textId="77777777" w:rsidR="00561403" w:rsidRDefault="00561403" w:rsidP="00B527AC">
      <w:pPr>
        <w:ind w:left="1440" w:right="-450" w:hanging="1440"/>
        <w:rPr>
          <w:b/>
        </w:rPr>
      </w:pPr>
    </w:p>
    <w:p w14:paraId="12CBE7B6" w14:textId="60244283" w:rsidR="00B527AC" w:rsidRPr="00561403" w:rsidRDefault="008C469B" w:rsidP="00B527AC">
      <w:pPr>
        <w:ind w:left="1440" w:right="-450" w:hanging="1440"/>
        <w:rPr>
          <w:bCs/>
          <w:i/>
          <w:color w:val="000000" w:themeColor="text1"/>
        </w:rPr>
      </w:pPr>
      <w:r w:rsidRPr="00561403">
        <w:rPr>
          <w:b/>
        </w:rPr>
        <w:t>RE:</w:t>
      </w:r>
      <w:r w:rsidRPr="00561403">
        <w:rPr>
          <w:b/>
        </w:rPr>
        <w:tab/>
      </w:r>
      <w:r w:rsidR="00195B4B" w:rsidRPr="00561403">
        <w:rPr>
          <w:bCs/>
        </w:rPr>
        <w:t xml:space="preserve">Docket No. </w:t>
      </w:r>
      <w:r w:rsidR="00B527AC" w:rsidRPr="00561403">
        <w:rPr>
          <w:bCs/>
        </w:rPr>
        <w:t>52</w:t>
      </w:r>
      <w:r w:rsidR="005F3746" w:rsidRPr="00561403">
        <w:rPr>
          <w:bCs/>
        </w:rPr>
        <w:t>073</w:t>
      </w:r>
      <w:r w:rsidR="00195B4B" w:rsidRPr="00561403">
        <w:t xml:space="preserve"> – </w:t>
      </w:r>
      <w:r w:rsidR="00195B4B" w:rsidRPr="00561403">
        <w:rPr>
          <w:i/>
        </w:rPr>
        <w:t xml:space="preserve">Application of </w:t>
      </w:r>
      <w:r w:rsidR="00B527AC" w:rsidRPr="00561403">
        <w:rPr>
          <w:i/>
        </w:rPr>
        <w:t>Southwestern Electric Power Company</w:t>
      </w:r>
      <w:r w:rsidR="00195B4B" w:rsidRPr="00561403">
        <w:rPr>
          <w:i/>
          <w:iCs/>
        </w:rPr>
        <w:t xml:space="preserve"> </w:t>
      </w:r>
      <w:r w:rsidR="00195B4B" w:rsidRPr="00561403">
        <w:rPr>
          <w:bCs/>
          <w:i/>
        </w:rPr>
        <w:t xml:space="preserve">to </w:t>
      </w:r>
      <w:r w:rsidR="00B527AC" w:rsidRPr="00561403">
        <w:rPr>
          <w:bCs/>
          <w:i/>
        </w:rPr>
        <w:t xml:space="preserve">Adjust </w:t>
      </w:r>
      <w:r w:rsidR="003E652A">
        <w:rPr>
          <w:bCs/>
          <w:i/>
        </w:rPr>
        <w:t>I</w:t>
      </w:r>
      <w:r w:rsidR="00B527AC" w:rsidRPr="00561403">
        <w:rPr>
          <w:bCs/>
          <w:i/>
        </w:rPr>
        <w:t xml:space="preserve">ts Energy Efficiency Cost Recovery </w:t>
      </w:r>
      <w:r w:rsidR="00B527AC" w:rsidRPr="00561403">
        <w:rPr>
          <w:bCs/>
          <w:i/>
          <w:color w:val="000000" w:themeColor="text1"/>
        </w:rPr>
        <w:t xml:space="preserve">Factor and Related Relief </w:t>
      </w:r>
    </w:p>
    <w:p w14:paraId="79A945CA" w14:textId="28E5CBE5" w:rsidR="008C469B" w:rsidRPr="00561403" w:rsidRDefault="0028111B" w:rsidP="00B527AC">
      <w:pPr>
        <w:ind w:left="1440" w:right="-450" w:hanging="1440"/>
      </w:pPr>
      <w:r w:rsidRPr="00561403">
        <w:rPr>
          <w:noProof/>
          <w:highlight w:val="yellow"/>
        </w:rPr>
        <mc:AlternateContent>
          <mc:Choice Requires="wps">
            <w:drawing>
              <wp:anchor distT="4294967289" distB="4294967289" distL="114300" distR="114300" simplePos="0" relativeHeight="251658240" behindDoc="0" locked="0" layoutInCell="1" allowOverlap="1" wp14:anchorId="46D9B359" wp14:editId="28C239B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DE937E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561403">
        <w:tab/>
      </w:r>
    </w:p>
    <w:p w14:paraId="3A41B500" w14:textId="49F8E12A" w:rsidR="00195B4B" w:rsidRPr="00561403" w:rsidRDefault="00D2675D" w:rsidP="00D95866">
      <w:pPr>
        <w:autoSpaceDE w:val="0"/>
        <w:autoSpaceDN w:val="0"/>
        <w:adjustRightInd w:val="0"/>
        <w:rPr>
          <w:bCs/>
          <w:color w:val="000000" w:themeColor="text1"/>
          <w:szCs w:val="24"/>
        </w:rPr>
      </w:pPr>
      <w:r w:rsidRPr="00561403">
        <w:rPr>
          <w:bCs/>
          <w:color w:val="000000" w:themeColor="text1"/>
          <w:szCs w:val="24"/>
        </w:rPr>
        <w:t>On April 30,</w:t>
      </w:r>
      <w:r w:rsidR="00E84388" w:rsidRPr="00561403">
        <w:rPr>
          <w:bCs/>
          <w:color w:val="000000" w:themeColor="text1"/>
          <w:szCs w:val="24"/>
        </w:rPr>
        <w:t xml:space="preserve"> </w:t>
      </w:r>
      <w:r w:rsidRPr="00561403">
        <w:rPr>
          <w:bCs/>
          <w:color w:val="000000" w:themeColor="text1"/>
          <w:szCs w:val="24"/>
        </w:rPr>
        <w:t>2021, Southwestern Electric Power Company (SWEPCO) filed an application with the Public Utility Commission of Texas (Commission) to adjust its Energy Efficiency Cost Recovery Factor (EECRF) and Related Relief (Application) for program year 202</w:t>
      </w:r>
      <w:r w:rsidR="005F3746" w:rsidRPr="00561403">
        <w:rPr>
          <w:bCs/>
          <w:color w:val="000000" w:themeColor="text1"/>
          <w:szCs w:val="24"/>
        </w:rPr>
        <w:t>2</w:t>
      </w:r>
      <w:r w:rsidR="00EC2AB5" w:rsidRPr="00561403">
        <w:rPr>
          <w:bCs/>
          <w:color w:val="000000" w:themeColor="text1"/>
          <w:szCs w:val="24"/>
        </w:rPr>
        <w:t xml:space="preserve"> </w:t>
      </w:r>
      <w:r w:rsidR="005F3746" w:rsidRPr="00561403">
        <w:rPr>
          <w:bCs/>
          <w:color w:val="000000" w:themeColor="text1"/>
          <w:szCs w:val="24"/>
        </w:rPr>
        <w:t xml:space="preserve">under </w:t>
      </w:r>
      <w:r w:rsidR="00EC2AB5" w:rsidRPr="00561403">
        <w:rPr>
          <w:bCs/>
          <w:color w:val="000000" w:themeColor="text1"/>
          <w:szCs w:val="24"/>
        </w:rPr>
        <w:t xml:space="preserve"> </w:t>
      </w:r>
      <w:r w:rsidR="005F3746" w:rsidRPr="00561403">
        <w:rPr>
          <w:bCs/>
          <w:color w:val="000000" w:themeColor="text1"/>
          <w:szCs w:val="24"/>
        </w:rPr>
        <w:t>Public Utility Regulatory Act (</w:t>
      </w:r>
      <w:r w:rsidR="00EC2AB5" w:rsidRPr="00561403">
        <w:rPr>
          <w:bCs/>
          <w:color w:val="000000" w:themeColor="text1"/>
          <w:szCs w:val="24"/>
        </w:rPr>
        <w:t>PURA</w:t>
      </w:r>
      <w:r w:rsidR="005F3746" w:rsidRPr="00561403">
        <w:rPr>
          <w:bCs/>
          <w:color w:val="000000" w:themeColor="text1"/>
          <w:szCs w:val="24"/>
        </w:rPr>
        <w:t>)</w:t>
      </w:r>
      <w:r w:rsidR="00EC2AB5" w:rsidRPr="00561403">
        <w:rPr>
          <w:bCs/>
          <w:color w:val="000000" w:themeColor="text1"/>
          <w:szCs w:val="24"/>
        </w:rPr>
        <w:t xml:space="preserve"> § 39.905 and 16 Texas Administrative Code (TAC) §§ 25.181 and 25.182.</w:t>
      </w:r>
    </w:p>
    <w:p w14:paraId="7C796841" w14:textId="77777777" w:rsidR="00EC2AB5" w:rsidRPr="00561403" w:rsidRDefault="00EC2AB5">
      <w:pPr>
        <w:autoSpaceDE w:val="0"/>
        <w:autoSpaceDN w:val="0"/>
        <w:adjustRightInd w:val="0"/>
        <w:rPr>
          <w:bCs/>
          <w:color w:val="000000" w:themeColor="text1"/>
          <w:szCs w:val="24"/>
          <w:highlight w:val="yellow"/>
        </w:rPr>
      </w:pPr>
    </w:p>
    <w:p w14:paraId="16DA68A0" w14:textId="6902A0B5" w:rsidR="00EC2AB5" w:rsidRPr="00561403" w:rsidRDefault="00EC2AB5" w:rsidP="00E84388">
      <w:pPr>
        <w:autoSpaceDE w:val="0"/>
        <w:autoSpaceDN w:val="0"/>
        <w:adjustRightInd w:val="0"/>
      </w:pPr>
      <w:r w:rsidRPr="00561403">
        <w:t xml:space="preserve">In its Application, SWEPCO requested a </w:t>
      </w:r>
      <w:r w:rsidR="00C73519" w:rsidRPr="00561403">
        <w:t xml:space="preserve">2022 </w:t>
      </w:r>
      <w:r w:rsidRPr="00561403">
        <w:t xml:space="preserve">EECRF of $6,440,360 comprised of the following components: </w:t>
      </w:r>
    </w:p>
    <w:p w14:paraId="7BC34C1D" w14:textId="24DC28BB" w:rsidR="00EC2AB5" w:rsidRPr="00561403" w:rsidRDefault="00EC2AB5" w:rsidP="00E84388">
      <w:pPr>
        <w:pStyle w:val="ListParagraph"/>
        <w:numPr>
          <w:ilvl w:val="0"/>
          <w:numId w:val="1"/>
        </w:numPr>
        <w:autoSpaceDE w:val="0"/>
        <w:autoSpaceDN w:val="0"/>
        <w:adjustRightInd w:val="0"/>
      </w:pPr>
      <w:r w:rsidRPr="00561403">
        <w:t>recovery of $4,367,484 in projected energy efficiency program costs for SWEPCO’s 2022 program</w:t>
      </w:r>
      <w:r w:rsidR="005F3746" w:rsidRPr="00561403">
        <w:t xml:space="preserve"> year</w:t>
      </w:r>
      <w:r w:rsidRPr="00561403">
        <w:t>;</w:t>
      </w:r>
    </w:p>
    <w:p w14:paraId="0E4BDD5D" w14:textId="2D1353C5" w:rsidR="00EC2AB5" w:rsidRPr="00561403" w:rsidRDefault="00EC2AB5" w:rsidP="00E84388">
      <w:pPr>
        <w:pStyle w:val="ListParagraph"/>
        <w:numPr>
          <w:ilvl w:val="0"/>
          <w:numId w:val="1"/>
        </w:numPr>
        <w:autoSpaceDE w:val="0"/>
        <w:autoSpaceDN w:val="0"/>
        <w:adjustRightInd w:val="0"/>
      </w:pPr>
      <w:r w:rsidRPr="00561403">
        <w:t xml:space="preserve">an adjustment for the over-recovery of $69,476 in </w:t>
      </w:r>
      <w:r w:rsidR="00912273" w:rsidRPr="00561403">
        <w:t>202</w:t>
      </w:r>
      <w:r w:rsidR="005F3746" w:rsidRPr="00561403">
        <w:t>0</w:t>
      </w:r>
      <w:r w:rsidRPr="00561403">
        <w:t xml:space="preserve"> for program costs including</w:t>
      </w:r>
    </w:p>
    <w:p w14:paraId="0F77F0C3" w14:textId="77777777" w:rsidR="00EC2AB5" w:rsidRPr="00561403" w:rsidRDefault="00EC2AB5" w:rsidP="00E84388">
      <w:pPr>
        <w:autoSpaceDE w:val="0"/>
        <w:autoSpaceDN w:val="0"/>
        <w:adjustRightInd w:val="0"/>
        <w:ind w:firstLine="720"/>
      </w:pPr>
      <w:r w:rsidRPr="00561403">
        <w:t>$2,147 in interest;</w:t>
      </w:r>
    </w:p>
    <w:p w14:paraId="075C1042" w14:textId="040A1645" w:rsidR="00EC2AB5" w:rsidRPr="00561403" w:rsidRDefault="00EC2AB5" w:rsidP="00E84388">
      <w:pPr>
        <w:pStyle w:val="ListParagraph"/>
        <w:numPr>
          <w:ilvl w:val="0"/>
          <w:numId w:val="2"/>
        </w:numPr>
        <w:autoSpaceDE w:val="0"/>
        <w:autoSpaceDN w:val="0"/>
        <w:adjustRightInd w:val="0"/>
      </w:pPr>
      <w:r w:rsidRPr="00561403">
        <w:t>E</w:t>
      </w:r>
      <w:r w:rsidR="005F3746" w:rsidRPr="00561403">
        <w:t>valuation, measurement and verification (E</w:t>
      </w:r>
      <w:r w:rsidRPr="00561403">
        <w:t>M&amp;V</w:t>
      </w:r>
      <w:r w:rsidR="005F3746" w:rsidRPr="00561403">
        <w:t>)</w:t>
      </w:r>
      <w:r w:rsidRPr="00561403">
        <w:t xml:space="preserve"> </w:t>
      </w:r>
      <w:r w:rsidR="00D95866" w:rsidRPr="00561403">
        <w:t xml:space="preserve">contractor </w:t>
      </w:r>
      <w:r w:rsidRPr="00561403">
        <w:t>costs of $63,713;</w:t>
      </w:r>
    </w:p>
    <w:p w14:paraId="71E855EB" w14:textId="14E31AE5" w:rsidR="00EC2AB5" w:rsidRPr="00561403" w:rsidRDefault="00EC2AB5" w:rsidP="00E84388">
      <w:pPr>
        <w:pStyle w:val="ListParagraph"/>
        <w:numPr>
          <w:ilvl w:val="0"/>
          <w:numId w:val="2"/>
        </w:numPr>
        <w:autoSpaceDE w:val="0"/>
        <w:autoSpaceDN w:val="0"/>
        <w:adjustRightInd w:val="0"/>
      </w:pPr>
      <w:r w:rsidRPr="00561403">
        <w:t>recovery of $2,066,789 representing SWEPCO’s performance bonus for achieving</w:t>
      </w:r>
    </w:p>
    <w:p w14:paraId="7934FD12" w14:textId="59816B21" w:rsidR="00EC2AB5" w:rsidRPr="00561403" w:rsidRDefault="00EC2AB5" w:rsidP="00E84388">
      <w:pPr>
        <w:autoSpaceDE w:val="0"/>
        <w:autoSpaceDN w:val="0"/>
        <w:adjustRightInd w:val="0"/>
        <w:ind w:firstLine="720"/>
      </w:pPr>
      <w:r w:rsidRPr="00561403">
        <w:t>demand and energy savings that exceeded the goal</w:t>
      </w:r>
      <w:r w:rsidR="00D95866" w:rsidRPr="00561403">
        <w:t>s</w:t>
      </w:r>
      <w:r w:rsidRPr="00561403">
        <w:t xml:space="preserve"> to be achieved in </w:t>
      </w:r>
      <w:r w:rsidR="00912273" w:rsidRPr="00561403">
        <w:t>202</w:t>
      </w:r>
      <w:r w:rsidR="005F3746" w:rsidRPr="00561403">
        <w:t>0</w:t>
      </w:r>
      <w:r w:rsidRPr="00561403">
        <w:t>; and</w:t>
      </w:r>
    </w:p>
    <w:p w14:paraId="00DDA08A" w14:textId="15D88DE6" w:rsidR="00EC2AB5" w:rsidRPr="00561403" w:rsidRDefault="00EC2AB5" w:rsidP="00E84388">
      <w:pPr>
        <w:pStyle w:val="ListParagraph"/>
        <w:numPr>
          <w:ilvl w:val="0"/>
          <w:numId w:val="3"/>
        </w:numPr>
        <w:autoSpaceDE w:val="0"/>
        <w:autoSpaceDN w:val="0"/>
        <w:adjustRightInd w:val="0"/>
      </w:pPr>
      <w:r w:rsidRPr="00561403">
        <w:t xml:space="preserve">recovery of $11,850 representing SWEPCO’s </w:t>
      </w:r>
      <w:r w:rsidR="00912273" w:rsidRPr="00561403">
        <w:t>202</w:t>
      </w:r>
      <w:r w:rsidR="005F3746" w:rsidRPr="00561403">
        <w:t>0 EECRF</w:t>
      </w:r>
      <w:r w:rsidRPr="00561403">
        <w:t xml:space="preserve"> proceeding expenses incurred</w:t>
      </w:r>
      <w:r w:rsidR="005F3746" w:rsidRPr="00561403">
        <w:t xml:space="preserve"> in Docket No. 50805.</w:t>
      </w:r>
      <w:r w:rsidR="003E652A">
        <w:rPr>
          <w:rStyle w:val="FootnoteReference"/>
        </w:rPr>
        <w:footnoteReference w:id="1"/>
      </w:r>
    </w:p>
    <w:p w14:paraId="5530AF04" w14:textId="47B70039" w:rsidR="00912273" w:rsidRPr="00561403" w:rsidRDefault="00912273" w:rsidP="00E84388">
      <w:pPr>
        <w:autoSpaceDE w:val="0"/>
        <w:autoSpaceDN w:val="0"/>
        <w:adjustRightInd w:val="0"/>
        <w:ind w:firstLine="720"/>
        <w:rPr>
          <w:highlight w:val="yellow"/>
        </w:rPr>
      </w:pPr>
    </w:p>
    <w:p w14:paraId="4CCC7211" w14:textId="0333E9A0" w:rsidR="00561403" w:rsidRPr="00561403" w:rsidRDefault="00912273" w:rsidP="00E84388">
      <w:pPr>
        <w:autoSpaceDE w:val="0"/>
        <w:autoSpaceDN w:val="0"/>
        <w:adjustRightInd w:val="0"/>
      </w:pPr>
      <w:r w:rsidRPr="00561403">
        <w:t xml:space="preserve">My review included an examination of the reasonableness of SWEPCO's </w:t>
      </w:r>
      <w:r w:rsidR="00561403" w:rsidRPr="00561403">
        <w:t>2020 EECRF rate</w:t>
      </w:r>
      <w:r w:rsidR="003B31CF">
        <w:t>-</w:t>
      </w:r>
      <w:r w:rsidR="00561403" w:rsidRPr="00561403">
        <w:t>case expenses in</w:t>
      </w:r>
      <w:r w:rsidR="00561403">
        <w:t>curred</w:t>
      </w:r>
      <w:r w:rsidR="00561403" w:rsidRPr="00561403">
        <w:t xml:space="preserve"> in Docket No. 50805</w:t>
      </w:r>
      <w:r w:rsidR="00E00601">
        <w:t>. I also reviewed the interest expense calculation on the over or (under)-recovered program costs to ensure compliance with 16 TAC 25.182 (d).</w:t>
      </w:r>
    </w:p>
    <w:p w14:paraId="6057EA90" w14:textId="77777777" w:rsidR="00E00601" w:rsidRDefault="00E00601" w:rsidP="00E84388"/>
    <w:p w14:paraId="0CE03E58" w14:textId="2DC8AAEB" w:rsidR="00625499" w:rsidRPr="00625499" w:rsidRDefault="00625499" w:rsidP="00625499">
      <w:pPr>
        <w:rPr>
          <w:szCs w:val="24"/>
        </w:rPr>
      </w:pPr>
      <w:r w:rsidRPr="00625499">
        <w:rPr>
          <w:szCs w:val="24"/>
        </w:rPr>
        <w:t>I reviewed SWEPCO’s itemized rate-case expense invoices</w:t>
      </w:r>
      <w:r w:rsidR="00A9073B">
        <w:rPr>
          <w:szCs w:val="24"/>
        </w:rPr>
        <w:t xml:space="preserve"> for the 2020 EECRF program year</w:t>
      </w:r>
      <w:r w:rsidRPr="00625499">
        <w:rPr>
          <w:szCs w:val="24"/>
        </w:rPr>
        <w:t xml:space="preserve">.  I applied the standards of </w:t>
      </w:r>
      <w:r w:rsidRPr="00625499">
        <w:t>16 TAC § 25.245(b) which states:</w:t>
      </w:r>
    </w:p>
    <w:p w14:paraId="11C470B7" w14:textId="77777777" w:rsidR="00625499" w:rsidRPr="00625499" w:rsidRDefault="00625499" w:rsidP="00625499">
      <w:pPr>
        <w:pStyle w:val="Default"/>
        <w:spacing w:before="240"/>
        <w:ind w:left="720" w:right="720"/>
      </w:pPr>
      <w:r w:rsidRPr="00625499">
        <w:rPr>
          <w:rFonts w:eastAsia="Times New Roman"/>
          <w:szCs w:val="20"/>
        </w:rPr>
        <w:tab/>
      </w:r>
      <w:r w:rsidRPr="00625499">
        <w:rPr>
          <w:bCs/>
        </w:rPr>
        <w:t>Requirements for claiming recovery of or reimbursement for rate-case expenses.</w:t>
      </w:r>
      <w:r w:rsidRPr="00625499">
        <w:rPr>
          <w:b/>
          <w:bCs/>
        </w:rPr>
        <w:t xml:space="preserve"> </w:t>
      </w:r>
    </w:p>
    <w:p w14:paraId="3824DF8B" w14:textId="77777777" w:rsidR="00625499" w:rsidRPr="00625499" w:rsidRDefault="00625499" w:rsidP="00625499">
      <w:pPr>
        <w:pStyle w:val="Default"/>
        <w:spacing w:before="240"/>
        <w:ind w:left="1440" w:right="720"/>
        <w:jc w:val="both"/>
      </w:pPr>
      <w:r w:rsidRPr="00625499">
        <w:lastRenderedPageBreak/>
        <w:t xml:space="preserve">A utility or municipality requesting recovery of or reimbursement for its rate-case expenses shall have the burden to prove the reasonableness of such rate-case expenses by a preponderance of the evidence.  A utility or municipality seeking recovery of or reimbursement for rate-case expenses shall file sufficient information that details and itemizes all rate-case expenses, including, but not limited to, evidence verified by testimony or affidavit, showing: </w:t>
      </w:r>
    </w:p>
    <w:p w14:paraId="79A0A0C6" w14:textId="77777777" w:rsidR="00625499" w:rsidRPr="00625499" w:rsidRDefault="00625499" w:rsidP="00625499">
      <w:pPr>
        <w:pStyle w:val="Default"/>
        <w:spacing w:before="240"/>
        <w:ind w:left="1440" w:right="720"/>
        <w:jc w:val="both"/>
      </w:pPr>
      <w:r w:rsidRPr="00625499">
        <w:t xml:space="preserve">(1) the nature, extent, and difficulty of the work done by the attorney or other professional in the rate case; </w:t>
      </w:r>
    </w:p>
    <w:p w14:paraId="2244BE7F" w14:textId="77777777" w:rsidR="00625499" w:rsidRPr="00625499" w:rsidRDefault="00625499" w:rsidP="00625499">
      <w:pPr>
        <w:pStyle w:val="Default"/>
        <w:spacing w:before="240"/>
        <w:ind w:left="1440" w:right="720"/>
        <w:contextualSpacing/>
        <w:jc w:val="both"/>
      </w:pPr>
      <w:r w:rsidRPr="00625499">
        <w:t xml:space="preserve">(2) the time and labor required and expended by the attorney or other professional; </w:t>
      </w:r>
    </w:p>
    <w:p w14:paraId="424CDDA3" w14:textId="77777777" w:rsidR="00625499" w:rsidRPr="00625499" w:rsidRDefault="00625499" w:rsidP="00625499">
      <w:pPr>
        <w:pStyle w:val="Default"/>
        <w:spacing w:before="240"/>
        <w:ind w:left="1440" w:right="720"/>
        <w:contextualSpacing/>
        <w:jc w:val="both"/>
      </w:pPr>
      <w:r w:rsidRPr="00625499">
        <w:t xml:space="preserve">(3) the fees or other consideration paid to the attorney or other professional for the services rendered; </w:t>
      </w:r>
    </w:p>
    <w:p w14:paraId="19DF8557" w14:textId="77777777" w:rsidR="00625499" w:rsidRPr="00625499" w:rsidRDefault="00625499" w:rsidP="00625499">
      <w:pPr>
        <w:pStyle w:val="Default"/>
        <w:spacing w:before="240" w:after="240"/>
        <w:ind w:left="1440" w:right="720"/>
        <w:contextualSpacing/>
        <w:jc w:val="both"/>
      </w:pPr>
      <w:r w:rsidRPr="00625499">
        <w:t xml:space="preserve">(4) the expenses incurred for lodging, meals and beverages, transportation, or other services or materials; </w:t>
      </w:r>
    </w:p>
    <w:p w14:paraId="2F0B2D41" w14:textId="77777777" w:rsidR="00625499" w:rsidRPr="00625499" w:rsidRDefault="00625499" w:rsidP="005021D4">
      <w:pPr>
        <w:pStyle w:val="Default"/>
        <w:spacing w:before="240"/>
        <w:ind w:left="1440" w:right="720"/>
        <w:contextualSpacing/>
        <w:jc w:val="both"/>
      </w:pPr>
      <w:r w:rsidRPr="00625499">
        <w:t xml:space="preserve">(5) the nature and scope of the rate case, including: </w:t>
      </w:r>
    </w:p>
    <w:p w14:paraId="1F99BDB6" w14:textId="77777777" w:rsidR="005021D4" w:rsidRDefault="00625499" w:rsidP="005021D4">
      <w:pPr>
        <w:pStyle w:val="Default"/>
        <w:spacing w:before="240"/>
        <w:ind w:left="2160" w:right="720"/>
        <w:contextualSpacing/>
        <w:jc w:val="both"/>
      </w:pPr>
      <w:r w:rsidRPr="00625499">
        <w:t xml:space="preserve">(A) the size of the utility and number and type of consumers served; </w:t>
      </w:r>
    </w:p>
    <w:p w14:paraId="0BFF2EE2" w14:textId="3E320294" w:rsidR="00625499" w:rsidRPr="00625499" w:rsidRDefault="00625499" w:rsidP="005021D4">
      <w:pPr>
        <w:pStyle w:val="Default"/>
        <w:spacing w:before="240"/>
        <w:ind w:left="2160" w:right="720"/>
        <w:contextualSpacing/>
        <w:jc w:val="both"/>
      </w:pPr>
      <w:r w:rsidRPr="00625499">
        <w:t xml:space="preserve">(B) the amount of money or value of property or interest at stake; </w:t>
      </w:r>
    </w:p>
    <w:p w14:paraId="57B63E5C" w14:textId="77777777" w:rsidR="00625499" w:rsidRPr="00625499" w:rsidRDefault="00625499" w:rsidP="005021D4">
      <w:pPr>
        <w:pStyle w:val="Default"/>
        <w:spacing w:before="240"/>
        <w:ind w:left="2160" w:right="720"/>
        <w:contextualSpacing/>
        <w:jc w:val="both"/>
      </w:pPr>
      <w:r w:rsidRPr="00625499">
        <w:t xml:space="preserve">(C) the novelty or complexity of the issues addressed; </w:t>
      </w:r>
    </w:p>
    <w:p w14:paraId="05833A59" w14:textId="77777777" w:rsidR="00625499" w:rsidRPr="00625499" w:rsidRDefault="00625499" w:rsidP="005021D4">
      <w:pPr>
        <w:pStyle w:val="Default"/>
        <w:spacing w:before="240"/>
        <w:ind w:left="2160" w:right="720"/>
        <w:contextualSpacing/>
        <w:jc w:val="both"/>
      </w:pPr>
      <w:r w:rsidRPr="00625499">
        <w:t xml:space="preserve">(D) the amount and complexity of discovery; </w:t>
      </w:r>
    </w:p>
    <w:p w14:paraId="16622387" w14:textId="77777777" w:rsidR="00625499" w:rsidRPr="00625499" w:rsidRDefault="00625499" w:rsidP="005021D4">
      <w:pPr>
        <w:pStyle w:val="Default"/>
        <w:spacing w:before="240"/>
        <w:ind w:left="2160" w:right="720"/>
        <w:contextualSpacing/>
        <w:jc w:val="both"/>
      </w:pPr>
      <w:r w:rsidRPr="00625499">
        <w:t xml:space="preserve">(E) the occurrence and length of a hearing; and </w:t>
      </w:r>
    </w:p>
    <w:p w14:paraId="4DF9B88D" w14:textId="77777777" w:rsidR="00625499" w:rsidRPr="00625499" w:rsidRDefault="00625499" w:rsidP="00625499">
      <w:pPr>
        <w:pStyle w:val="Default"/>
        <w:spacing w:before="240"/>
        <w:ind w:left="1440" w:right="720"/>
        <w:contextualSpacing/>
        <w:jc w:val="both"/>
      </w:pPr>
      <w:r w:rsidRPr="00625499">
        <w:t xml:space="preserve">(6) the specific issue or issues in the rate case and the amount of rate-case expenses reasonably associated with each issue. </w:t>
      </w:r>
    </w:p>
    <w:p w14:paraId="0029D025" w14:textId="79965EF6" w:rsidR="00625499" w:rsidRPr="00625499" w:rsidRDefault="00625499" w:rsidP="00CE609E">
      <w:pPr>
        <w:pStyle w:val="Default"/>
        <w:spacing w:before="240"/>
        <w:ind w:right="720"/>
        <w:jc w:val="both"/>
        <w:rPr>
          <w:bCs/>
        </w:rPr>
      </w:pPr>
      <w:r w:rsidRPr="00625499">
        <w:t>I also applied the standards of 16 TAC § 25.245(c) which states:</w:t>
      </w:r>
    </w:p>
    <w:p w14:paraId="5F22C387" w14:textId="77777777" w:rsidR="00625499" w:rsidRPr="00625499" w:rsidRDefault="00625499" w:rsidP="00625499">
      <w:pPr>
        <w:pStyle w:val="Default"/>
        <w:spacing w:before="240"/>
        <w:ind w:left="1440" w:right="720"/>
        <w:jc w:val="both"/>
        <w:rPr>
          <w:b/>
          <w:bCs/>
        </w:rPr>
      </w:pPr>
      <w:r w:rsidRPr="00625499">
        <w:rPr>
          <w:bCs/>
        </w:rPr>
        <w:t>Criteria for review and determination of reasonableness.</w:t>
      </w:r>
      <w:r w:rsidRPr="00625499">
        <w:rPr>
          <w:b/>
          <w:bCs/>
        </w:rPr>
        <w:t xml:space="preserve"> </w:t>
      </w:r>
    </w:p>
    <w:p w14:paraId="53B3F2B3" w14:textId="77777777" w:rsidR="00625499" w:rsidRPr="00625499" w:rsidRDefault="00625499" w:rsidP="00625499">
      <w:pPr>
        <w:pStyle w:val="Default"/>
        <w:spacing w:before="240"/>
        <w:ind w:left="1440" w:right="720"/>
        <w:jc w:val="both"/>
      </w:pPr>
      <w:r w:rsidRPr="00625499">
        <w:t xml:space="preserve">In determining the reasonableness of the rate-case expenses, the presiding officer shall consider the relevant factors listed in subsection (b) of this section and any other factor shown to be relevant to the specific case.  The presiding officer shall decide whether and the extent to which the evidence shows that: </w:t>
      </w:r>
    </w:p>
    <w:p w14:paraId="3972B164" w14:textId="77777777" w:rsidR="00625499" w:rsidRPr="00625499" w:rsidRDefault="00625499" w:rsidP="00625499">
      <w:pPr>
        <w:pStyle w:val="Default"/>
        <w:spacing w:before="240"/>
        <w:ind w:left="1440" w:right="720"/>
        <w:jc w:val="both"/>
      </w:pPr>
      <w:r w:rsidRPr="00625499">
        <w:t xml:space="preserve">(1) the fees paid to, tasks performed by, or time spent on a task by an attorney or other professional were extreme or excessive; </w:t>
      </w:r>
    </w:p>
    <w:p w14:paraId="000C268B" w14:textId="77777777" w:rsidR="00625499" w:rsidRPr="00625499" w:rsidRDefault="00625499" w:rsidP="00625499">
      <w:pPr>
        <w:pStyle w:val="Default"/>
        <w:spacing w:before="240"/>
        <w:ind w:left="1440" w:right="720"/>
        <w:contextualSpacing/>
        <w:jc w:val="both"/>
      </w:pPr>
      <w:r w:rsidRPr="00625499">
        <w:t xml:space="preserve">(2) the expenses incurred for lodging, meals and beverages, transportation, or other services or materials were extreme or excessive; </w:t>
      </w:r>
    </w:p>
    <w:p w14:paraId="6D2F5479" w14:textId="77777777" w:rsidR="00625499" w:rsidRPr="00625499" w:rsidRDefault="00625499" w:rsidP="00625499">
      <w:pPr>
        <w:pStyle w:val="Default"/>
        <w:spacing w:before="240"/>
        <w:ind w:left="1440" w:right="720"/>
        <w:contextualSpacing/>
        <w:jc w:val="both"/>
      </w:pPr>
      <w:r w:rsidRPr="00625499">
        <w:t xml:space="preserve">(3) there was duplication of services or testimony; </w:t>
      </w:r>
    </w:p>
    <w:p w14:paraId="4BC885B7" w14:textId="77777777" w:rsidR="00625499" w:rsidRPr="00625499" w:rsidRDefault="00625499" w:rsidP="00625499">
      <w:pPr>
        <w:pStyle w:val="Default"/>
        <w:spacing w:before="240"/>
        <w:ind w:left="1440" w:right="720"/>
        <w:contextualSpacing/>
        <w:jc w:val="both"/>
      </w:pPr>
      <w:r w:rsidRPr="00625499">
        <w:t xml:space="preserve">(4) the utility’s or municipality’s proposal on an issue in the rate case had no reasonable basis in law, policy, or fact and was not warranted by any reasonable argument for the extension, modification, or reversal of commission precedent; </w:t>
      </w:r>
    </w:p>
    <w:p w14:paraId="66BEAA59" w14:textId="77777777" w:rsidR="00625499" w:rsidRPr="00625499" w:rsidRDefault="00625499" w:rsidP="00625499">
      <w:pPr>
        <w:pStyle w:val="Default"/>
        <w:spacing w:before="240"/>
        <w:ind w:left="1440" w:right="720"/>
        <w:contextualSpacing/>
        <w:jc w:val="both"/>
      </w:pPr>
      <w:r w:rsidRPr="00625499">
        <w:t xml:space="preserve">(5) rate-case expenses as a whole were disproportionate, excessive, or unwarranted in relation to the nature and scope of the rate case </w:t>
      </w:r>
      <w:r w:rsidRPr="00625499">
        <w:lastRenderedPageBreak/>
        <w:t xml:space="preserve">addressed by the evidence pursuant to subsection (b)(5) of this section; or </w:t>
      </w:r>
    </w:p>
    <w:p w14:paraId="3B9A159D" w14:textId="77777777" w:rsidR="00625499" w:rsidRPr="00625499" w:rsidRDefault="00625499" w:rsidP="00625499">
      <w:pPr>
        <w:spacing w:before="240"/>
        <w:ind w:left="1440" w:right="720"/>
        <w:contextualSpacing/>
        <w:rPr>
          <w:szCs w:val="24"/>
        </w:rPr>
      </w:pPr>
      <w:r w:rsidRPr="00625499">
        <w:rPr>
          <w:szCs w:val="24"/>
        </w:rPr>
        <w:t>(6) the utility or municipality failed to comply with the requirements for providing sufficient information pursuant to subsection (b) of this section.</w:t>
      </w:r>
    </w:p>
    <w:p w14:paraId="213BF67D" w14:textId="77777777" w:rsidR="00625499" w:rsidRPr="00625499" w:rsidRDefault="00625499" w:rsidP="003E0E0A">
      <w:pPr>
        <w:spacing w:before="240"/>
        <w:rPr>
          <w:rFonts w:ascii="Times" w:hAnsi="Times"/>
        </w:rPr>
      </w:pPr>
      <w:r w:rsidRPr="00625499">
        <w:rPr>
          <w:rFonts w:ascii="Times" w:hAnsi="Times"/>
        </w:rPr>
        <w:t xml:space="preserve">Additionally, I performed the following review of itemized billings to make certain that all rate-case expenses met the requirements of </w:t>
      </w:r>
      <w:r w:rsidRPr="00625499">
        <w:t xml:space="preserve">16 </w:t>
      </w:r>
      <w:r w:rsidRPr="00625499">
        <w:rPr>
          <w:szCs w:val="24"/>
        </w:rPr>
        <w:t>TAC § 25.245(b) and (c).</w:t>
      </w:r>
    </w:p>
    <w:p w14:paraId="146BD3B5" w14:textId="77777777" w:rsidR="00625499" w:rsidRPr="00625499" w:rsidRDefault="00625499" w:rsidP="0083631A">
      <w:pPr>
        <w:pStyle w:val="ListParagraph"/>
        <w:numPr>
          <w:ilvl w:val="1"/>
          <w:numId w:val="5"/>
        </w:numPr>
        <w:spacing w:before="120"/>
        <w:ind w:left="2160" w:hanging="720"/>
        <w:rPr>
          <w:rFonts w:ascii="Times" w:hAnsi="Times"/>
        </w:rPr>
      </w:pPr>
      <w:r w:rsidRPr="00625499">
        <w:rPr>
          <w:rFonts w:ascii="Times" w:hAnsi="Times"/>
        </w:rPr>
        <w:t>All rate-case expenses were supported with appropriate third party documentation.</w:t>
      </w:r>
    </w:p>
    <w:p w14:paraId="7420A627" w14:textId="77777777" w:rsidR="00625499" w:rsidRPr="00625499" w:rsidRDefault="00625499" w:rsidP="0083631A">
      <w:pPr>
        <w:pStyle w:val="ListParagraph"/>
        <w:numPr>
          <w:ilvl w:val="1"/>
          <w:numId w:val="5"/>
        </w:numPr>
        <w:spacing w:before="120"/>
        <w:ind w:left="2160" w:hanging="720"/>
        <w:rPr>
          <w:rFonts w:ascii="Times" w:hAnsi="Times"/>
        </w:rPr>
      </w:pPr>
      <w:r w:rsidRPr="00625499">
        <w:rPr>
          <w:rFonts w:ascii="Times" w:hAnsi="Times"/>
        </w:rPr>
        <w:t>The hourly rates for each attorney or professional were reasonable.</w:t>
      </w:r>
    </w:p>
    <w:p w14:paraId="5CD277AD" w14:textId="77777777" w:rsidR="00625499" w:rsidRPr="00625499" w:rsidRDefault="00625499" w:rsidP="0083631A">
      <w:pPr>
        <w:pStyle w:val="ListParagraph"/>
        <w:numPr>
          <w:ilvl w:val="1"/>
          <w:numId w:val="5"/>
        </w:numPr>
        <w:spacing w:before="120"/>
        <w:ind w:left="2160" w:hanging="720"/>
        <w:rPr>
          <w:rFonts w:ascii="Times" w:hAnsi="Times"/>
        </w:rPr>
      </w:pPr>
      <w:r w:rsidRPr="00625499">
        <w:rPr>
          <w:rFonts w:ascii="Times" w:hAnsi="Times"/>
        </w:rPr>
        <w:t>The daily billable hours for each attorney or professional were reasonable.</w:t>
      </w:r>
    </w:p>
    <w:p w14:paraId="4568325C" w14:textId="18C5FA49" w:rsidR="00625499" w:rsidRPr="00625499" w:rsidRDefault="00625499" w:rsidP="00625499">
      <w:pPr>
        <w:spacing w:before="120"/>
        <w:rPr>
          <w:rFonts w:ascii="Times" w:hAnsi="Times"/>
        </w:rPr>
      </w:pPr>
      <w:r w:rsidRPr="00625499">
        <w:rPr>
          <w:rFonts w:ascii="Times" w:hAnsi="Times"/>
        </w:rPr>
        <w:t xml:space="preserve">Furthermore, I reviewed the computation of the total fee billed for accuracy and determined: </w:t>
      </w:r>
    </w:p>
    <w:p w14:paraId="4960D13B" w14:textId="77777777" w:rsidR="00625499" w:rsidRPr="00625499" w:rsidRDefault="00625499" w:rsidP="003E0E0A">
      <w:pPr>
        <w:pStyle w:val="ListParagraph"/>
        <w:numPr>
          <w:ilvl w:val="1"/>
          <w:numId w:val="5"/>
        </w:numPr>
        <w:spacing w:before="120"/>
        <w:ind w:left="2160" w:hanging="720"/>
        <w:rPr>
          <w:rFonts w:ascii="Times" w:hAnsi="Times"/>
        </w:rPr>
      </w:pPr>
      <w:r w:rsidRPr="00625499">
        <w:rPr>
          <w:rFonts w:ascii="Times" w:hAnsi="Times"/>
        </w:rPr>
        <w:t>The calculation in computing the fee was accurate.</w:t>
      </w:r>
    </w:p>
    <w:p w14:paraId="32F119B0" w14:textId="77777777" w:rsidR="00625499" w:rsidRPr="00625499" w:rsidRDefault="00625499" w:rsidP="003E0E0A">
      <w:pPr>
        <w:pStyle w:val="ListParagraph"/>
        <w:numPr>
          <w:ilvl w:val="1"/>
          <w:numId w:val="5"/>
        </w:numPr>
        <w:spacing w:before="120"/>
        <w:ind w:left="2160" w:hanging="720"/>
        <w:rPr>
          <w:rFonts w:ascii="Times" w:hAnsi="Times"/>
        </w:rPr>
      </w:pPr>
      <w:r w:rsidRPr="00625499">
        <w:rPr>
          <w:rFonts w:ascii="Times" w:hAnsi="Times"/>
        </w:rPr>
        <w:t>The total request in rate-case expenses was reasonable when compared to the individual invoices.</w:t>
      </w:r>
    </w:p>
    <w:p w14:paraId="6C1E6DF4" w14:textId="77777777" w:rsidR="00625499" w:rsidRPr="00625499" w:rsidRDefault="00625499" w:rsidP="003E0E0A">
      <w:pPr>
        <w:pStyle w:val="ListParagraph"/>
        <w:numPr>
          <w:ilvl w:val="1"/>
          <w:numId w:val="5"/>
        </w:numPr>
        <w:spacing w:before="120"/>
        <w:ind w:left="2160" w:hanging="720"/>
        <w:rPr>
          <w:rFonts w:ascii="Times" w:hAnsi="Times"/>
        </w:rPr>
      </w:pPr>
      <w:r w:rsidRPr="00625499">
        <w:rPr>
          <w:rFonts w:ascii="Times" w:hAnsi="Times"/>
        </w:rPr>
        <w:t>Expenses incurred for lodging, meals and beverages, transportation, or other services or materials were reasonable.</w:t>
      </w:r>
    </w:p>
    <w:p w14:paraId="00284C0E" w14:textId="77777777" w:rsidR="00625499" w:rsidRPr="00625499" w:rsidRDefault="00625499" w:rsidP="003E0E0A">
      <w:pPr>
        <w:pStyle w:val="ListParagraph"/>
        <w:numPr>
          <w:ilvl w:val="1"/>
          <w:numId w:val="5"/>
        </w:numPr>
        <w:spacing w:before="120"/>
        <w:ind w:left="2160" w:hanging="720"/>
        <w:rPr>
          <w:rFonts w:ascii="Times" w:hAnsi="Times"/>
        </w:rPr>
      </w:pPr>
      <w:r w:rsidRPr="00625499">
        <w:rPr>
          <w:rFonts w:ascii="Times" w:hAnsi="Times"/>
        </w:rPr>
        <w:t>The description of the service and work performed demonstrated reasonableness and necessity within the nature and scope of the EECRF proceeding.</w:t>
      </w:r>
    </w:p>
    <w:p w14:paraId="33E960BD" w14:textId="77777777" w:rsidR="00625499" w:rsidRPr="00625499" w:rsidRDefault="00625499" w:rsidP="003E0E0A">
      <w:pPr>
        <w:pStyle w:val="ListParagraph"/>
        <w:numPr>
          <w:ilvl w:val="1"/>
          <w:numId w:val="5"/>
        </w:numPr>
        <w:spacing w:before="120"/>
        <w:ind w:left="2160" w:hanging="720"/>
        <w:rPr>
          <w:rFonts w:ascii="Times" w:hAnsi="Times"/>
        </w:rPr>
      </w:pPr>
      <w:r w:rsidRPr="00625499">
        <w:rPr>
          <w:rFonts w:ascii="Times" w:hAnsi="Times"/>
        </w:rPr>
        <w:t>The time and labor required and expended by the attorney or other professional was reasonable.</w:t>
      </w:r>
    </w:p>
    <w:p w14:paraId="4360402E" w14:textId="77777777" w:rsidR="00625499" w:rsidRPr="00625499" w:rsidRDefault="00625499" w:rsidP="003E0E0A">
      <w:pPr>
        <w:pStyle w:val="ListParagraph"/>
        <w:numPr>
          <w:ilvl w:val="1"/>
          <w:numId w:val="5"/>
        </w:numPr>
        <w:spacing w:before="120"/>
        <w:ind w:left="2160" w:hanging="720"/>
        <w:rPr>
          <w:rFonts w:ascii="Times" w:hAnsi="Times"/>
        </w:rPr>
      </w:pPr>
      <w:r w:rsidRPr="00625499">
        <w:rPr>
          <w:rFonts w:ascii="Times" w:hAnsi="Times"/>
        </w:rPr>
        <w:t xml:space="preserve">No duplication of service occurred. </w:t>
      </w:r>
    </w:p>
    <w:p w14:paraId="2B898165" w14:textId="5535D5A2" w:rsidR="00625499" w:rsidRDefault="00625499" w:rsidP="00E84388">
      <w:pPr>
        <w:rPr>
          <w:highlight w:val="yellow"/>
        </w:rPr>
      </w:pPr>
    </w:p>
    <w:p w14:paraId="5C826BC0" w14:textId="6A188610" w:rsidR="00A9073B" w:rsidRPr="008A7D2F" w:rsidRDefault="00625499" w:rsidP="00E84388">
      <w:pPr>
        <w:autoSpaceDE w:val="0"/>
        <w:autoSpaceDN w:val="0"/>
        <w:adjustRightInd w:val="0"/>
        <w:rPr>
          <w:bCs/>
          <w:szCs w:val="24"/>
        </w:rPr>
      </w:pPr>
      <w:r w:rsidRPr="00625499">
        <w:rPr>
          <w:szCs w:val="24"/>
        </w:rPr>
        <w:t xml:space="preserve">Based upon the procedures described above, and my review of the Application, workpapers and affidavits, I </w:t>
      </w:r>
      <w:r w:rsidR="00192FCC">
        <w:rPr>
          <w:szCs w:val="24"/>
        </w:rPr>
        <w:t>recommend</w:t>
      </w:r>
      <w:r w:rsidR="00192FCC" w:rsidRPr="00625499">
        <w:rPr>
          <w:szCs w:val="24"/>
        </w:rPr>
        <w:t xml:space="preserve"> </w:t>
      </w:r>
      <w:r w:rsidRPr="00625499">
        <w:rPr>
          <w:szCs w:val="24"/>
        </w:rPr>
        <w:t>that the rate-case expenses of $</w:t>
      </w:r>
      <w:r w:rsidR="00A9073B">
        <w:rPr>
          <w:szCs w:val="24"/>
        </w:rPr>
        <w:t>11,850</w:t>
      </w:r>
      <w:r w:rsidRPr="00625499">
        <w:rPr>
          <w:szCs w:val="24"/>
        </w:rPr>
        <w:t xml:space="preserve"> related to SWEPCO’s 2020 </w:t>
      </w:r>
      <w:r w:rsidR="00A9073B">
        <w:rPr>
          <w:szCs w:val="24"/>
        </w:rPr>
        <w:t>EECRF</w:t>
      </w:r>
      <w:r w:rsidRPr="00625499">
        <w:rPr>
          <w:szCs w:val="24"/>
        </w:rPr>
        <w:t xml:space="preserve"> under Docket No. 50805</w:t>
      </w:r>
      <w:r w:rsidR="00A9073B" w:rsidRPr="00E00601">
        <w:t xml:space="preserve"> </w:t>
      </w:r>
      <w:r w:rsidRPr="00625499">
        <w:rPr>
          <w:szCs w:val="24"/>
        </w:rPr>
        <w:t>are reasonable</w:t>
      </w:r>
      <w:r w:rsidR="000A201F">
        <w:rPr>
          <w:szCs w:val="24"/>
        </w:rPr>
        <w:t xml:space="preserve"> and necessary.  Additionally, </w:t>
      </w:r>
      <w:r w:rsidR="00192FCC">
        <w:rPr>
          <w:szCs w:val="24"/>
        </w:rPr>
        <w:t xml:space="preserve">I recommend that </w:t>
      </w:r>
      <w:r w:rsidR="000A201F">
        <w:rPr>
          <w:szCs w:val="24"/>
        </w:rPr>
        <w:t>SWEPC</w:t>
      </w:r>
      <w:r w:rsidR="001A1325">
        <w:rPr>
          <w:szCs w:val="24"/>
        </w:rPr>
        <w:t>O</w:t>
      </w:r>
      <w:r w:rsidR="000A201F">
        <w:rPr>
          <w:szCs w:val="24"/>
        </w:rPr>
        <w:t xml:space="preserve"> correctly calculated the interest expense</w:t>
      </w:r>
      <w:r w:rsidR="00761D19">
        <w:rPr>
          <w:szCs w:val="24"/>
        </w:rPr>
        <w:t xml:space="preserve"> in the amount of $2,147 related to</w:t>
      </w:r>
      <w:r w:rsidR="000A201F">
        <w:rPr>
          <w:szCs w:val="24"/>
        </w:rPr>
        <w:t xml:space="preserve"> the 2020 </w:t>
      </w:r>
      <w:r w:rsidR="001A1325">
        <w:rPr>
          <w:szCs w:val="24"/>
        </w:rPr>
        <w:t xml:space="preserve">program cost </w:t>
      </w:r>
      <w:r w:rsidR="000A201F">
        <w:rPr>
          <w:szCs w:val="24"/>
        </w:rPr>
        <w:t>over-recovery.</w:t>
      </w:r>
    </w:p>
    <w:sectPr w:rsidR="00A9073B" w:rsidRPr="008A7D2F" w:rsidSect="003E0E0A">
      <w:headerReference w:type="default" r:id="rId10"/>
      <w:type w:val="continuous"/>
      <w:pgSz w:w="12240" w:h="15840"/>
      <w:pgMar w:top="720" w:right="180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87BDF" w14:textId="77777777" w:rsidR="008334A4" w:rsidRDefault="008334A4">
      <w:r>
        <w:separator/>
      </w:r>
    </w:p>
  </w:endnote>
  <w:endnote w:type="continuationSeparator" w:id="0">
    <w:p w14:paraId="5700ABF5" w14:textId="77777777" w:rsidR="008334A4" w:rsidRDefault="00833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7BC071" w14:textId="77777777" w:rsidR="008334A4" w:rsidRDefault="008334A4">
      <w:r>
        <w:separator/>
      </w:r>
    </w:p>
  </w:footnote>
  <w:footnote w:type="continuationSeparator" w:id="0">
    <w:p w14:paraId="650AD679" w14:textId="77777777" w:rsidR="008334A4" w:rsidRDefault="008334A4">
      <w:r>
        <w:continuationSeparator/>
      </w:r>
    </w:p>
  </w:footnote>
  <w:footnote w:id="1">
    <w:p w14:paraId="2FC875CA" w14:textId="7426B7B4" w:rsidR="003E652A" w:rsidRPr="003E652A" w:rsidRDefault="003E652A" w:rsidP="003E0E0A">
      <w:pPr>
        <w:pStyle w:val="FootnoteText"/>
        <w:ind w:firstLine="720"/>
      </w:pPr>
      <w:r>
        <w:rPr>
          <w:rStyle w:val="FootnoteReference"/>
        </w:rPr>
        <w:footnoteRef/>
      </w:r>
      <w:r>
        <w:t xml:space="preserve">  </w:t>
      </w:r>
      <w:r>
        <w:rPr>
          <w:i/>
          <w:iCs/>
        </w:rPr>
        <w:t>Application of Southwestern Electric Power Company to Adjust Its Energy Efficiency Cost Recovery Factor and Related Relief</w:t>
      </w:r>
      <w:r>
        <w:t>, Docket No. 50805, Order (Nov. 5,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EBBAC" w14:textId="669BB125" w:rsidR="00CA58BC" w:rsidRPr="00E6425C" w:rsidRDefault="00CA58BC" w:rsidP="00CA58BC">
    <w:pPr>
      <w:tabs>
        <w:tab w:val="center" w:pos="4320"/>
        <w:tab w:val="right" w:pos="8640"/>
      </w:tabs>
      <w:spacing w:before="100" w:beforeAutospacing="1" w:after="100" w:afterAutospacing="1"/>
      <w:jc w:val="left"/>
      <w:rPr>
        <w:sz w:val="20"/>
      </w:rPr>
    </w:pPr>
    <w:r w:rsidRPr="00E6425C">
      <w:rPr>
        <w:sz w:val="20"/>
      </w:rPr>
      <w:t>Docket No. 5</w:t>
    </w:r>
    <w:r>
      <w:rPr>
        <w:sz w:val="20"/>
      </w:rPr>
      <w:t>2073</w:t>
    </w:r>
    <w:r w:rsidRPr="00E6425C">
      <w:rPr>
        <w:sz w:val="20"/>
      </w:rPr>
      <w:tab/>
      <w:t xml:space="preserve">Memorandum of </w:t>
    </w:r>
    <w:r>
      <w:rPr>
        <w:sz w:val="20"/>
      </w:rPr>
      <w:t>Diane Hopingardner</w:t>
    </w:r>
    <w:r w:rsidRPr="00E6425C">
      <w:rPr>
        <w:sz w:val="20"/>
      </w:rPr>
      <w:t xml:space="preserve"> (</w:t>
    </w:r>
    <w:r>
      <w:rPr>
        <w:sz w:val="20"/>
      </w:rPr>
      <w:t>July 1</w:t>
    </w:r>
    <w:r w:rsidRPr="00E6425C">
      <w:rPr>
        <w:sz w:val="20"/>
      </w:rPr>
      <w:t>, 2021)</w:t>
    </w:r>
    <w:r w:rsidRPr="00E6425C">
      <w:rPr>
        <w:sz w:val="20"/>
      </w:rPr>
      <w:tab/>
      <w:t xml:space="preserve">Page </w:t>
    </w:r>
    <w:r>
      <w:rPr>
        <w:sz w:val="20"/>
      </w:rPr>
      <w:t>2</w:t>
    </w:r>
    <w:r w:rsidRPr="00E6425C">
      <w:rPr>
        <w:sz w:val="20"/>
      </w:rPr>
      <w:t xml:space="preserve"> of 3</w:t>
    </w:r>
  </w:p>
  <w:p w14:paraId="62F44F16" w14:textId="77777777" w:rsidR="00E6425C" w:rsidRDefault="00E64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7DA03" w14:textId="77777777" w:rsidR="00DA36E8" w:rsidRDefault="00DA36E8">
    <w:pPr>
      <w:pStyle w:val="Header"/>
      <w:jc w:val="center"/>
      <w:rPr>
        <w:b/>
        <w:i/>
        <w:sz w:val="38"/>
      </w:rPr>
    </w:pPr>
    <w:r>
      <w:rPr>
        <w:b/>
        <w:i/>
        <w:sz w:val="38"/>
      </w:rPr>
      <w:t>Public Utility Commission of Texas</w:t>
    </w:r>
  </w:p>
  <w:p w14:paraId="657382E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B719B48" w14:textId="77777777" w:rsidR="00DA36E8" w:rsidRDefault="00DA36E8">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4E900" w14:textId="0B8F4FE9" w:rsidR="00E6425C" w:rsidRPr="00E6425C" w:rsidRDefault="00E6425C" w:rsidP="00E6425C">
    <w:pPr>
      <w:tabs>
        <w:tab w:val="center" w:pos="4320"/>
        <w:tab w:val="right" w:pos="8640"/>
      </w:tabs>
      <w:spacing w:before="100" w:beforeAutospacing="1" w:after="100" w:afterAutospacing="1"/>
      <w:jc w:val="left"/>
      <w:rPr>
        <w:sz w:val="20"/>
      </w:rPr>
    </w:pPr>
    <w:r w:rsidRPr="00E6425C">
      <w:rPr>
        <w:sz w:val="20"/>
      </w:rPr>
      <w:t>Docket No. 5</w:t>
    </w:r>
    <w:r>
      <w:rPr>
        <w:sz w:val="20"/>
      </w:rPr>
      <w:t>2073</w:t>
    </w:r>
    <w:r w:rsidRPr="00E6425C">
      <w:rPr>
        <w:sz w:val="20"/>
      </w:rPr>
      <w:tab/>
      <w:t xml:space="preserve">Memorandum of </w:t>
    </w:r>
    <w:r>
      <w:rPr>
        <w:sz w:val="20"/>
      </w:rPr>
      <w:t>Diane Hopingardner</w:t>
    </w:r>
    <w:r w:rsidRPr="00E6425C">
      <w:rPr>
        <w:sz w:val="20"/>
      </w:rPr>
      <w:t xml:space="preserve"> (</w:t>
    </w:r>
    <w:r>
      <w:rPr>
        <w:sz w:val="20"/>
      </w:rPr>
      <w:t>July 1</w:t>
    </w:r>
    <w:r w:rsidRPr="00E6425C">
      <w:rPr>
        <w:sz w:val="20"/>
      </w:rPr>
      <w:t>, 2021)</w:t>
    </w:r>
    <w:r w:rsidRPr="00E6425C">
      <w:rPr>
        <w:sz w:val="20"/>
      </w:rPr>
      <w:tab/>
      <w:t xml:space="preserve">Page </w:t>
    </w:r>
    <w:r w:rsidR="0000117D">
      <w:rPr>
        <w:sz w:val="20"/>
      </w:rPr>
      <w:t>3</w:t>
    </w:r>
    <w:r w:rsidRPr="00E6425C">
      <w:rPr>
        <w:sz w:val="20"/>
      </w:rPr>
      <w:t xml:space="preserve"> of 3</w:t>
    </w:r>
  </w:p>
  <w:p w14:paraId="018F410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200E36"/>
    <w:multiLevelType w:val="hybridMultilevel"/>
    <w:tmpl w:val="9D9A904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E163956"/>
    <w:multiLevelType w:val="hybridMultilevel"/>
    <w:tmpl w:val="4C584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611480"/>
    <w:multiLevelType w:val="hybridMultilevel"/>
    <w:tmpl w:val="A8C40294"/>
    <w:lvl w:ilvl="0" w:tplc="6D140AFC">
      <w:start w:val="10"/>
      <w:numFmt w:val="decimal"/>
      <w:lvlText w:val="%1."/>
      <w:lvlJc w:val="left"/>
      <w:pPr>
        <w:ind w:left="351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6D9075A6"/>
    <w:multiLevelType w:val="hybridMultilevel"/>
    <w:tmpl w:val="CF14D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381B15"/>
    <w:multiLevelType w:val="hybridMultilevel"/>
    <w:tmpl w:val="4E9E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evenAndOddHeader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7AC"/>
    <w:rsid w:val="0000117D"/>
    <w:rsid w:val="000A201F"/>
    <w:rsid w:val="000D4AC5"/>
    <w:rsid w:val="00116570"/>
    <w:rsid w:val="001360C0"/>
    <w:rsid w:val="00192FCC"/>
    <w:rsid w:val="00195B4B"/>
    <w:rsid w:val="001A1325"/>
    <w:rsid w:val="0025297B"/>
    <w:rsid w:val="0028111B"/>
    <w:rsid w:val="0031143C"/>
    <w:rsid w:val="003B31CF"/>
    <w:rsid w:val="003C09C6"/>
    <w:rsid w:val="003E0E0A"/>
    <w:rsid w:val="003E652A"/>
    <w:rsid w:val="004249AC"/>
    <w:rsid w:val="0048697E"/>
    <w:rsid w:val="005021D4"/>
    <w:rsid w:val="00511B9D"/>
    <w:rsid w:val="00561403"/>
    <w:rsid w:val="005B636A"/>
    <w:rsid w:val="005E2981"/>
    <w:rsid w:val="005F3746"/>
    <w:rsid w:val="00625499"/>
    <w:rsid w:val="00635F1F"/>
    <w:rsid w:val="00761D19"/>
    <w:rsid w:val="007B1261"/>
    <w:rsid w:val="007E4EE0"/>
    <w:rsid w:val="008262FF"/>
    <w:rsid w:val="008334A4"/>
    <w:rsid w:val="0083631A"/>
    <w:rsid w:val="0084029E"/>
    <w:rsid w:val="00847833"/>
    <w:rsid w:val="008A7D2F"/>
    <w:rsid w:val="008B08CA"/>
    <w:rsid w:val="008C469B"/>
    <w:rsid w:val="008F6458"/>
    <w:rsid w:val="0091083F"/>
    <w:rsid w:val="00912273"/>
    <w:rsid w:val="009366EA"/>
    <w:rsid w:val="00941C36"/>
    <w:rsid w:val="00A73915"/>
    <w:rsid w:val="00A7691E"/>
    <w:rsid w:val="00A9073B"/>
    <w:rsid w:val="00AD1079"/>
    <w:rsid w:val="00AF07FE"/>
    <w:rsid w:val="00B527AC"/>
    <w:rsid w:val="00B56DD2"/>
    <w:rsid w:val="00B64061"/>
    <w:rsid w:val="00B81E04"/>
    <w:rsid w:val="00C013EE"/>
    <w:rsid w:val="00C511E0"/>
    <w:rsid w:val="00C73519"/>
    <w:rsid w:val="00C9157E"/>
    <w:rsid w:val="00CA58BC"/>
    <w:rsid w:val="00CC77DB"/>
    <w:rsid w:val="00CE0CD4"/>
    <w:rsid w:val="00CE609E"/>
    <w:rsid w:val="00D2675D"/>
    <w:rsid w:val="00D95866"/>
    <w:rsid w:val="00DA1DBF"/>
    <w:rsid w:val="00DA36E8"/>
    <w:rsid w:val="00E00601"/>
    <w:rsid w:val="00E525E6"/>
    <w:rsid w:val="00E6425C"/>
    <w:rsid w:val="00E84388"/>
    <w:rsid w:val="00EA5690"/>
    <w:rsid w:val="00EC2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AD2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semiHidden/>
    <w:unhideWhenUsed/>
    <w:rsid w:val="00DA1DBF"/>
    <w:rPr>
      <w:sz w:val="16"/>
      <w:szCs w:val="16"/>
    </w:rPr>
  </w:style>
  <w:style w:type="paragraph" w:styleId="CommentText">
    <w:name w:val="annotation text"/>
    <w:basedOn w:val="Normal"/>
    <w:link w:val="CommentTextChar"/>
    <w:uiPriority w:val="99"/>
    <w:unhideWhenUsed/>
    <w:rsid w:val="00DA1DBF"/>
    <w:rPr>
      <w:sz w:val="20"/>
    </w:rPr>
  </w:style>
  <w:style w:type="character" w:customStyle="1" w:styleId="CommentTextChar">
    <w:name w:val="Comment Text Char"/>
    <w:basedOn w:val="DefaultParagraphFont"/>
    <w:link w:val="CommentText"/>
    <w:uiPriority w:val="99"/>
    <w:rsid w:val="00DA1DBF"/>
  </w:style>
  <w:style w:type="paragraph" w:styleId="CommentSubject">
    <w:name w:val="annotation subject"/>
    <w:basedOn w:val="CommentText"/>
    <w:next w:val="CommentText"/>
    <w:link w:val="CommentSubjectChar"/>
    <w:uiPriority w:val="99"/>
    <w:semiHidden/>
    <w:unhideWhenUsed/>
    <w:rsid w:val="00DA1DBF"/>
    <w:rPr>
      <w:b/>
      <w:bCs/>
    </w:rPr>
  </w:style>
  <w:style w:type="character" w:customStyle="1" w:styleId="CommentSubjectChar">
    <w:name w:val="Comment Subject Char"/>
    <w:basedOn w:val="CommentTextChar"/>
    <w:link w:val="CommentSubject"/>
    <w:uiPriority w:val="99"/>
    <w:semiHidden/>
    <w:rsid w:val="00DA1DBF"/>
    <w:rPr>
      <w:b/>
      <w:bCs/>
    </w:rPr>
  </w:style>
  <w:style w:type="paragraph" w:styleId="ListParagraph">
    <w:name w:val="List Paragraph"/>
    <w:basedOn w:val="Normal"/>
    <w:uiPriority w:val="34"/>
    <w:qFormat/>
    <w:rsid w:val="00EC2AB5"/>
    <w:pPr>
      <w:ind w:left="720"/>
      <w:contextualSpacing/>
    </w:pPr>
  </w:style>
  <w:style w:type="paragraph" w:customStyle="1" w:styleId="Default">
    <w:name w:val="Default"/>
    <w:rsid w:val="00625499"/>
    <w:pPr>
      <w:autoSpaceDE w:val="0"/>
      <w:autoSpaceDN w:val="0"/>
      <w:adjustRightInd w:val="0"/>
    </w:pPr>
    <w:rPr>
      <w:rFonts w:eastAsiaTheme="minorHAnsi"/>
      <w:color w:val="000000"/>
      <w:sz w:val="24"/>
      <w:szCs w:val="24"/>
    </w:rPr>
  </w:style>
  <w:style w:type="paragraph" w:styleId="FootnoteText">
    <w:name w:val="footnote text"/>
    <w:basedOn w:val="Normal"/>
    <w:link w:val="FootnoteTextChar"/>
    <w:uiPriority w:val="99"/>
    <w:semiHidden/>
    <w:unhideWhenUsed/>
    <w:rsid w:val="003E652A"/>
    <w:rPr>
      <w:sz w:val="20"/>
    </w:rPr>
  </w:style>
  <w:style w:type="character" w:customStyle="1" w:styleId="FootnoteTextChar">
    <w:name w:val="Footnote Text Char"/>
    <w:basedOn w:val="DefaultParagraphFont"/>
    <w:link w:val="FootnoteText"/>
    <w:uiPriority w:val="99"/>
    <w:semiHidden/>
    <w:rsid w:val="003E652A"/>
  </w:style>
  <w:style w:type="character" w:styleId="FootnoteReference">
    <w:name w:val="footnote reference"/>
    <w:basedOn w:val="DefaultParagraphFont"/>
    <w:uiPriority w:val="99"/>
    <w:semiHidden/>
    <w:unhideWhenUsed/>
    <w:rsid w:val="003E65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0FFE0-FB6D-4AFE-BC75-9C39B1D9D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902</Words>
  <Characters>5009</Characters>
  <Application>Microsoft Office Word</Application>
  <DocSecurity>0</DocSecurity>
  <Lines>41</Lines>
  <Paragraphs>11</Paragraphs>
  <ScaleCrop>false</ScaleCrop>
  <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2021-07-01T15:08:00Z</dcterms:created>
  <dcterms:modified xsi:type="dcterms:W3CDTF">2021-07-01T15:08:00Z</dcterms:modified>
</cp:coreProperties>
</file>